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Executive Summary</w:t>
      </w:r>
    </w:p>
    <w:p w:rsidR="00000000" w:rsidDel="00000000" w:rsidP="00000000" w:rsidRDefault="00000000" w:rsidRPr="00000000" w14:paraId="00000002">
      <w:pPr>
        <w:rPr/>
      </w:pPr>
      <w:r w:rsidDel="00000000" w:rsidR="00000000" w:rsidRPr="00000000">
        <w:rPr>
          <w:rtl w:val="0"/>
        </w:rPr>
        <w:t xml:space="preserve">The MO-KAN-NE Chapter of the Educational Opportunity Association (MKN) launched a comprehensive Feasibility Study in 2025 to evaluate the sustainability of its leadership and committee structure, the capacity of its volunteer base, and the potential need for paid administrative support. This initiative emerged in response to consistent feedback from members indicating that while engagement and commitment to the mission remain strong, the organization’s structure has become increasingly complex and difficult to sustain solely through volunteer labor.</w:t>
      </w:r>
    </w:p>
    <w:p w:rsidR="00000000" w:rsidDel="00000000" w:rsidP="00000000" w:rsidRDefault="00000000" w:rsidRPr="00000000" w14:paraId="00000003">
      <w:pPr>
        <w:rPr/>
      </w:pPr>
      <w:r w:rsidDel="00000000" w:rsidR="00000000" w:rsidRPr="00000000">
        <w:rPr>
          <w:rtl w:val="0"/>
        </w:rPr>
        <w:t xml:space="preserve">Purpose and Charge</w:t>
      </w:r>
    </w:p>
    <w:p w:rsidR="00000000" w:rsidDel="00000000" w:rsidP="00000000" w:rsidRDefault="00000000" w:rsidRPr="00000000" w14:paraId="00000004">
      <w:pPr>
        <w:rPr/>
      </w:pPr>
      <w:r w:rsidDel="00000000" w:rsidR="00000000" w:rsidRPr="00000000">
        <w:rPr>
          <w:rtl w:val="0"/>
        </w:rPr>
        <w:t xml:space="preserve">The Board of Directors charged the Feasibility Task Force—comprised of Anna McDonald, Julie Cayton, Liz Shepard, Nicholas Horne, and Rashawn Harvey, with contributions from Brandon Hammond and Erika Sterup—to:</w:t>
      </w:r>
    </w:p>
    <w:p w:rsidR="00000000" w:rsidDel="00000000" w:rsidP="00000000" w:rsidRDefault="00000000" w:rsidRPr="00000000" w14:paraId="00000005">
      <w:pPr>
        <w:rPr/>
      </w:pPr>
      <w:r w:rsidDel="00000000" w:rsidR="00000000" w:rsidRPr="00000000">
        <w:rPr>
          <w:rtl w:val="0"/>
        </w:rPr>
        <w:t xml:space="preserve">“Assess the current roles and responsibilities of board members and committee chairs, review the existing constitution and bylaws for any necessary amendments related to role changes and term limits, identify duties exceeding reasonable volunteer expectations, and develop a potential job description for a paid contracted position.”</w:t>
      </w:r>
    </w:p>
    <w:p w:rsidR="00000000" w:rsidDel="00000000" w:rsidP="00000000" w:rsidRDefault="00000000" w:rsidRPr="00000000" w14:paraId="00000006">
      <w:pPr>
        <w:rPr/>
      </w:pPr>
      <w:r w:rsidDel="00000000" w:rsidR="00000000" w:rsidRPr="00000000">
        <w:rPr>
          <w:rtl w:val="0"/>
        </w:rPr>
        <w:t xml:space="preserve">Methodology</w:t>
      </w:r>
    </w:p>
    <w:p w:rsidR="00000000" w:rsidDel="00000000" w:rsidP="00000000" w:rsidRDefault="00000000" w:rsidRPr="00000000" w14:paraId="00000007">
      <w:pPr>
        <w:rPr/>
      </w:pPr>
      <w:r w:rsidDel="00000000" w:rsidR="00000000" w:rsidRPr="00000000">
        <w:rPr>
          <w:rtl w:val="0"/>
        </w:rPr>
        <w:t xml:space="preserve">The study integrated four data sources:</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Volunteer and Leadership Interest Survey distributed to all members (73 responses).</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Listening Sessions in five regions—St. Louis, Southwest Missouri, Lawrence (KS), Central Nebraska, and a virtual forum—gathering qualitative feedback on engagement and leadership.</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Document Review comparing the 2021 Constitution and Bylaws with 2024–2025 Committee Charges to assess structural growth and role alignment.</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Committee Chair Question Review and Analysis coordinated by the Past-President through the Special Concerns and Affiliations Committee, which gathered self-reported feedback from current committee chairs and board members regarding role clarity, workload, and operational challenges</w:t>
      </w:r>
    </w:p>
    <w:p w:rsidR="00000000" w:rsidDel="00000000" w:rsidP="00000000" w:rsidRDefault="00000000" w:rsidRPr="00000000" w14:paraId="0000000C">
      <w:pPr>
        <w:rPr/>
      </w:pPr>
      <w:r w:rsidDel="00000000" w:rsidR="00000000" w:rsidRPr="00000000">
        <w:rPr>
          <w:rtl w:val="0"/>
        </w:rPr>
        <w:t xml:space="preserve">Key Findings</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Volunteer Capacity: The current structure involves over 22 committees, many with overlapping functions and unclear reporting lines, leading to burnout and inefficiency.</w:t>
      </w:r>
      <w:r w:rsidDel="00000000" w:rsidR="00000000" w:rsidRPr="00000000">
        <w:rPr>
          <w:rtl w:val="0"/>
        </w:rPr>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Analysis of committee interviews and meeting responses revealed several key leadership and operational positions—particularly Treasurer, Technology, and Professional Development—consistently exceed reasonable volunteer workload expectations.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Member Engagement: Members value MKN’s mission and community but seek clearer expectations, defined time commitments, and more transparent communication about leadership pathways.</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Structural Growth: The organization’s evolution reflects increased professionalism and advocacy reach, yet its volunteer-only model no longer matches operational demands.</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Equity and Access: Listening sessions underscored the importance of regional inclusion, representation from smaller programs, and multiple pathways for both introverted and extroverted engagement styles.</w:t>
      </w:r>
    </w:p>
    <w:p w:rsidR="00000000" w:rsidDel="00000000" w:rsidP="00000000" w:rsidRDefault="00000000" w:rsidRPr="00000000" w14:paraId="00000012">
      <w:pPr>
        <w:rPr/>
      </w:pPr>
      <w:r w:rsidDel="00000000" w:rsidR="00000000" w:rsidRPr="00000000">
        <w:rPr>
          <w:rtl w:val="0"/>
        </w:rPr>
        <w:t xml:space="preserve">Conclusions</w:t>
      </w:r>
    </w:p>
    <w:p w:rsidR="00000000" w:rsidDel="00000000" w:rsidP="00000000" w:rsidRDefault="00000000" w:rsidRPr="00000000" w14:paraId="00000013">
      <w:pPr>
        <w:rPr/>
      </w:pPr>
      <w:r w:rsidDel="00000000" w:rsidR="00000000" w:rsidRPr="00000000">
        <w:rPr>
          <w:rtl w:val="0"/>
        </w:rPr>
        <w:t xml:space="preserve">The Task Force concluded that MKN’s volunteer structure is at capacity. To sustain growth, the chapter must streamline its committee model, clarify duties, and potentially professionalize key administrative functions. The findings affirm strong member support for change, with openness to structural modernization and compensated coordination.</w:t>
      </w:r>
    </w:p>
    <w:p w:rsidR="00000000" w:rsidDel="00000000" w:rsidP="00000000" w:rsidRDefault="00000000" w:rsidRPr="00000000" w14:paraId="00000014">
      <w:pPr>
        <w:rPr/>
      </w:pPr>
      <w:r w:rsidDel="00000000" w:rsidR="00000000" w:rsidRPr="00000000">
        <w:rPr>
          <w:rtl w:val="0"/>
        </w:rPr>
        <w:t xml:space="preserve">Recommendations</w:t>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Clarify Leadership Roles through standardized position descriptions, visual role charts, and onboarding materials.</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Streamline the Committee Structure by consolidating similar functions into broader clusters (e.g. Membership, Engagement, and Inclusion; Advocacy, Legislation, and Partnerships; Professional Learning and Development; Recognition, Events, and Communications; Operations, Finance, and Governance)</w:t>
      </w:r>
      <w:r w:rsidDel="00000000" w:rsidR="00000000" w:rsidRPr="00000000">
        <w:rPr>
          <w:rtl w:val="0"/>
        </w:rPr>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Adopt a Phased Implementation Plan with clear evaluation checkpoints, ensuring member transparency and board oversight.</w:t>
      </w:r>
    </w:p>
    <w:p w:rsidR="00000000" w:rsidDel="00000000" w:rsidP="00000000" w:rsidRDefault="00000000" w:rsidRPr="00000000" w14:paraId="00000018">
      <w:pPr>
        <w:rPr/>
      </w:pPr>
      <w:r w:rsidDel="00000000" w:rsidR="00000000" w:rsidRPr="00000000">
        <w:rPr>
          <w:rtl w:val="0"/>
        </w:rPr>
        <w:t xml:space="preserve">Projected Outcomes</w:t>
      </w:r>
    </w:p>
    <w:p w:rsidR="00000000" w:rsidDel="00000000" w:rsidP="00000000" w:rsidRDefault="00000000" w:rsidRPr="00000000" w14:paraId="00000019">
      <w:pPr>
        <w:rPr/>
      </w:pPr>
      <w:r w:rsidDel="00000000" w:rsidR="00000000" w:rsidRPr="00000000">
        <w:rPr>
          <w:rtl w:val="0"/>
        </w:rPr>
        <w:t xml:space="preserve">Implementing these changes will improve organizational efficiency, member satisfaction, and leadership sustainability—positioning MKN to expand its impact while remaining true to its mission of advancing equity and access in higher education across Missouri, Kansas, and Nebraska.</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B6E3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E3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E3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6E3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B6E3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B6E3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E3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E3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E3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E3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E3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E3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B6E3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B6E3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E3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E3E"/>
    <w:rPr>
      <w:i w:val="1"/>
      <w:iCs w:val="1"/>
      <w:color w:val="404040" w:themeColor="text1" w:themeTint="0000BF"/>
    </w:rPr>
  </w:style>
  <w:style w:type="paragraph" w:styleId="ListParagraph">
    <w:name w:val="List Paragraph"/>
    <w:basedOn w:val="Normal"/>
    <w:uiPriority w:val="34"/>
    <w:qFormat w:val="1"/>
    <w:rsid w:val="009B6E3E"/>
    <w:pPr>
      <w:ind w:left="720"/>
      <w:contextualSpacing w:val="1"/>
    </w:pPr>
  </w:style>
  <w:style w:type="character" w:styleId="IntenseEmphasis">
    <w:name w:val="Intense Emphasis"/>
    <w:basedOn w:val="DefaultParagraphFont"/>
    <w:uiPriority w:val="21"/>
    <w:qFormat w:val="1"/>
    <w:rsid w:val="009B6E3E"/>
    <w:rPr>
      <w:i w:val="1"/>
      <w:iCs w:val="1"/>
      <w:color w:val="0f4761" w:themeColor="accent1" w:themeShade="0000BF"/>
    </w:rPr>
  </w:style>
  <w:style w:type="paragraph" w:styleId="IntenseQuote">
    <w:name w:val="Intense Quote"/>
    <w:basedOn w:val="Normal"/>
    <w:next w:val="Normal"/>
    <w:link w:val="IntenseQuoteChar"/>
    <w:uiPriority w:val="30"/>
    <w:qFormat w:val="1"/>
    <w:rsid w:val="009B6E3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E3E"/>
    <w:rPr>
      <w:i w:val="1"/>
      <w:iCs w:val="1"/>
      <w:color w:val="0f4761" w:themeColor="accent1" w:themeShade="0000BF"/>
    </w:rPr>
  </w:style>
  <w:style w:type="character" w:styleId="IntenseReference">
    <w:name w:val="Intense Reference"/>
    <w:basedOn w:val="DefaultParagraphFont"/>
    <w:uiPriority w:val="32"/>
    <w:qFormat w:val="1"/>
    <w:rsid w:val="009B6E3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KRp2r4gqpOWQfVZNGwrl6Qo8A==">CgMxLjA4AHIhMWhPUEV1U0lvODFuUTZlQkNweElzVmdEMzFWMUFoeTBB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2025-10-27T14:50:00Z</dcterms:created>
  <dc:creator>Horne, Nicholas 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3c914db9-cea6-4049-acc1-1a24ac0c8675</vt:lpwstr>
  </property>
</Properties>
</file>